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05:58 МСК · База обновлена: 23.07.2026, 02:55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П. 38 лет обратился в ортопедическое отделение стоматологической поликлиники.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задержку пищи между зубами 3.6 и 3.7,</w:t>
      </w:r>
    </w:p>
    <w:p>
      <w:pPr>
        <w:spacing w:after="58"/>
      </w:pPr>
      <w:r>
        <w:rPr>
          <w:b w:val="0"/>
          <w:i w:val="0"/>
        </w:rPr>
        <w:t>* болезненность зуба 3.6 при накусывании.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Более трех лет назад зуб 3.6 лечен по поводу пульпита, около месяца назад во время приема пищи и при накусывании на зуб появились боли.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злоупотребляет.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имеет.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состояние удовлетворительное.</w:t>
      </w:r>
    </w:p>
    <w:p>
      <w:pPr>
        <w:spacing w:after="58"/>
      </w:pPr>
      <w:r>
        <w:rPr>
          <w:b w:val="0"/>
          <w:i w:val="0"/>
        </w:rPr>
        <w:t>Конфигурация лица не изменена. Кожные покровы чистые. Открывание рта свободное, в полном объёме. Регионарные лимфоузлы не увеличены, безболезненные, мягко-эластичной консистенции, не спаяны с окружающими тканями.</w:t>
      </w:r>
    </w:p>
    <w:p>
      <w:pPr>
        <w:spacing w:after="58"/>
      </w:pPr>
      <w:r>
        <w:rPr>
          <w:b w:val="0"/>
          <w:i w:val="0"/>
        </w:rPr>
        <w:t>*Локальный статус:* на жевательной поверхности зуба 3.6 пломба средних размеров с переходом на дистальную контактную поверхность, реакция на температурные раздражители безболезненная. Слизистая оболочка переходной складки в области корней розовая, умеренно увлажнена. Рот санирован.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Инструментальным методом диагностики, необходимым в предлагаемой клинической ситуации,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определение Индекса нуждаемости в лечении болезней пародонта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люминесцентный метод зуба 3.6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перкуссия зуба 3.6</w:t>
      </w:r>
    </w:p>
    <w:p>
      <w:pPr>
        <w:ind w:left="504"/>
      </w:pPr>
      <w:r>
        <w:rPr>
          <w:b w:val="0"/>
          <w:i/>
        </w:rPr>
        <w:t>В связи с жалобами, данными анамнеза (потерей зубов от подвижности) при осмотре необходимо проводить инструментальное обследование Перкуссия зубов (А02.07.007)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данном клиническом случае пациенту рекомендован вид рентгеновской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телерентгенография (ТРГ)  в боковой проекции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обзорная рентгенография черепа в носоподбородочной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прицельная внутриротовая контактная рентгенография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прицельная внутриротовая контактная рентгенография</w:t>
      </w:r>
    </w:p>
    <w:p>
      <w:pPr>
        <w:ind w:left="504"/>
      </w:pPr>
      <w:r>
        <w:rPr>
          <w:b w:val="0"/>
          <w:i/>
        </w:rPr>
        <w:t>При диагностике необходимо учитывать результаты рентгенологического исследования имеющихся зубов, в особенности планируемых под опоры.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диагностики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электроодонтодиагностика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электромиография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электроодонтодиагностика зуба 3.6</w:t>
      </w:r>
    </w:p>
    <w:p>
      <w:pPr>
        <w:ind w:left="504"/>
      </w:pPr>
      <w:r>
        <w:rPr>
          <w:b w:val="0"/>
          <w:i/>
        </w:rPr>
        <w:t>Клиническая картина периодонтита.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Эксфолиация зубов вследствие системных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Повышенное стирание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апикальный периодонтит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зубов и их опорного аппарата неуточненное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Хронический апикальный периодонтит зуба 3.6</w:t>
      </w:r>
    </w:p>
    <w:p>
      <w:pPr>
        <w:ind w:left="504"/>
      </w:pPr>
      <w:r>
        <w:rPr>
          <w:b w:val="0"/>
          <w:i/>
        </w:rPr>
        <w:t>Хронические формы периодонтита могут протекать бессимптомно.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года.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Предполагаемым ИРОПЗ зуба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ровно 55,5%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&gt;0,8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&gt;0,4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менее 50%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&gt;0,8</w:t>
      </w:r>
    </w:p>
    <w:p>
      <w:pPr>
        <w:ind w:left="504"/>
      </w:pPr>
      <w:r>
        <w:rPr>
          <w:b w:val="0"/>
          <w:i/>
        </w:rPr>
        <w:t>Методика расчета и применения ИРОПЗ в стоматологии.</w:t>
        <w:br/>
        <w:br/>
        <w:t>Ортопедическая стоматология (несъемное зубное протезирование): учебник /  О. Р. Курбанов, А. И. Абдурахманов, С. И. Абакаров - М. : ГЭОТАР-Медиа, 2015, С. 31-32.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ортопедическом лечении в данном клиническом случае протезирование должно выполнять +_____________+ функцию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логопедическую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замещающую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эстетическую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замещающую</w:t>
      </w:r>
    </w:p>
    <w:p>
      <w:pPr>
        <w:ind w:left="504"/>
      </w:pPr>
      <w:r>
        <w:rPr>
          <w:b w:val="0"/>
          <w:i/>
        </w:rPr>
        <w:t>Методы протезирования позволяют восстановить основную функцию зубочелюстной системы: пережевывание пищи.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Ортопедическая стоматология: Национальное руководство / под ред. И.Ю. Лебеденко, С.Д. Арутюнова, А.Н. Ряховского, 2016, С. 272.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Восстановление зуба 3.6 в данной клинической ситуации целесообразнее провести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изготовления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метода пломбирования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литой культевой штифтовой вкладки и металлокерамической коронки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изготовления  металлокерамической коронки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литой культевой штифтовой вкладки и металлокерамической коронки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требованию по длине внутрикорневой части литой культевой штифтовой вкладке зуба 3.6 относят +________+ длины корня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2/3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4/5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3/4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1/3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2/3</w:t>
      </w:r>
    </w:p>
    <w:p>
      <w:pPr>
        <w:ind w:left="504"/>
      </w:pPr>
      <w:r>
        <w:rPr>
          <w:b w:val="0"/>
          <w:i/>
        </w:rPr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подходящим в данном клиническом случае облицовочным материалом для искусственной коронки на зуб 3.6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пластмасса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композиционный материал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никелид титана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керамический материал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керамический материал</w:t>
      </w:r>
    </w:p>
    <w:p>
      <w:pPr>
        <w:ind w:left="504"/>
      </w:pPr>
      <w:r>
        <w:rPr>
          <w:b w:val="0"/>
          <w:i/>
        </w:rPr>
        <w:t>Керамика в стоматологии - очень популярный материал, поскольку позволяет изготавливать зубные протезы, неотличимые по своему виду от естественных зубов.</w:t>
        <w:br/>
        <w:br/>
        <w:t>Ортопедическая стоматология: национальное руководство / под ред. И.Ю. Лебеденко, С.Д. Арутюнова, А.Н. Ряховского. - М. : ГЭОТАР-Медиа, 2016 С.651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Перед протезированием зуба 3.6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пломбирование каналов зуба 3.6 (эндодонтическое перелечивание зуба)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резекцию верхушек корней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гемисекцию зуба 3.6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проводниковую анестезию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пломбирование каналов зуба 3.6 (эндодонтическое перелечивание зуба)</w:t>
      </w:r>
    </w:p>
    <w:p>
      <w:pPr>
        <w:ind w:left="504"/>
      </w:pPr>
      <w:r>
        <w:rPr>
          <w:b w:val="0"/>
          <w:i/>
        </w:rPr>
        <w:t>Целью пломбирования является достижение обтурации канала до апикального отверстия или физиологического сужения корня и предотвращение повторного инфицирования канала микроорганизмами. Пломбировать корневой канал можно в том случае, если отсутствуют болевые симптомы, выделение экссудата, чувствительность при перкуссии. Предварительно необходимо изолировать зуб от слюны.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Каковы требования к диетическим назначениям и ограничениям в данном клиническом случае?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отказ от кариесогенных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отказ от вязкой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отказ от использования очень жесткой пищи, требующей пережевывания твердых кусков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специальных требований нет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специальных требований нет</w:t>
      </w:r>
    </w:p>
    <w:p>
      <w:pPr>
        <w:ind w:left="504"/>
      </w:pPr>
      <w:r>
        <w:rPr>
          <w:b w:val="0"/>
          <w:i/>
        </w:rPr>
        <w:t>7.2.11. Требования к диетическим назначениям и ограничениям</w:t>
        <w:br/>
        <w:t>Специальных требований нет.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Наибольшей вероятностью возможного исхода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нового заболевания, связанного с основным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 ятрогенных осложнений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компенсация 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стабилизация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компенсация функции</w:t>
      </w:r>
    </w:p>
    <w:p>
      <w:pPr>
        <w:ind w:left="504"/>
      </w:pPr>
      <w:r>
        <w:rPr>
          <w:b w:val="0"/>
          <w:i/>
        </w:rPr>
        <w:t>7.2.15. Возможные исходы и их характеристики</w:t>
        <w:br/>
        <w:br/>
        <w:t>Исход: Компенсация функции</w:t>
        <w:br/>
        <w:br/>
        <w:t>Частота развития, %: 60</w:t>
        <w:br/>
        <w:br/>
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</w:t>
        <w:br/>
        <w:br/>
      </w:r>
      <w:hyperlink r:id="rId20">
        <w:r>
          <w:rPr>
            <w:color w:val="173C49"/>
            <w:u w:val="single"/>
          </w:rPr>
          <w:t>КЛИНИЧЕСКИЕ РЕКОМЕНДАЦИИ (ПРОТОКОЛЫ ЛЕЧЕНИЯ) ПРИ ДИАГНОЗЕ БОЛЕЗНИ ПЕРИАПИКАЛЬНЫХ ТКАНЕЙ. Утверждены Постановлением № 18 Совета Ассоциации общественных объединений «Стоматологическая Ассоциация России» от 30 сентября 2014 года, актуализированы 02 августа 2018 года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клинику обратилась пациентка А.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изменение цвета,</w:t>
      </w:r>
    </w:p>
    <w:p>
      <w:pPr>
        <w:spacing w:after="58"/>
      </w:pPr>
      <w:r>
        <w:rPr>
          <w:b w:val="0"/>
          <w:i w:val="0"/>
        </w:rPr>
        <w:t>* наличие пятен на фронтальных зубах верхней челюсти.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Пятна на 1.1, 2.1 зубах появились с момента прорезывания.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Работает.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возрасту.</w:t>
      </w:r>
    </w:p>
    <w:p>
      <w:pPr>
        <w:spacing w:after="58"/>
      </w:pPr>
      <w:r>
        <w:rPr>
          <w:b w:val="0"/>
          <w:i w:val="0"/>
        </w:rPr>
        <w:t>* Со слов пациентки, туберкулез, ВИЧ, Гепатит,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spacing w:after="58"/>
      </w:pPr>
      <w:r>
        <w:rPr>
          <w:b w:val="0"/>
          <w:i w:val="0"/>
        </w:rPr>
        <w:t>* Вредные привычки - курит.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*Осмотр полости рта.*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>
        <w:trPr>
          <w:tblHeader w:val="true"/>
        </w:trPr>
        <w:tc>
          <w:tcPr>
            <w:tcW w:type="dxa" w:w="632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1.8|1.7|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1.4|1.3|1.2|1.1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2.1|2.2|2.3|2.4|2.5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2.6|2.7|2.8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4.4|4.3|4.2|4.1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Слизистая оболочка рта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pPr>
        <w:spacing w:after="58"/>
      </w:pPr>
      <w:r>
        <w:rPr>
          <w:b w:val="0"/>
          <w:i w:val="0"/>
        </w:rPr>
        <w:t>на 1.1, 2.1 зубах имеются множественные меловидные пятна. Отмечаются борозды на вестибулярной части зуба.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выбора тактики лечения данной пациентки необходимо использовать дополнительные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электромиографию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внутриротовую контактную 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телерентгенографию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аксиографию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электроодонтометрию; 3 —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Проводят при наличии патологической стираемости, клиновидных дефектах, расширении периодонтальной щели, вторичной деформации зубных рядов и т. д., перед началом препарирования зубов под коронки для определения необходимости депульпирования. При работе с зубами с витальной пульпой электроодонтодиагностику необходимо проводить до начала лечения, не ранее чем через три дня после препарирования и перед фиксацией несъемной конструкции на постоянный цемент для определения необходимости депульпирования при развитии воспалительного процесса в результате препарирования</w:t>
        <w:br/>
        <w:br/>
        <w:t>Клинические рекомендации (протоколы лечения) «Частичное отсутствие зубов (частичная вторичная адентия, потеря зубов вследствие несчастного случая, удаления или локализованного пародонтита)»</w:t>
        <w:br/>
        <w:t xml:space="preserve"> Утверждены Постановлением № 15 Совета Ассоциации общественных объединений «Стоматологическая Ассоциация России» от 30 сентября 2014 года</w:t>
        <w:br/>
        <w:br/>
      </w:r>
      <w:hyperlink r:id="rId27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 Утверждены Постановлением № 15 Совета Ассоциации общественных объединений «Стоматологическая Ассоциация России» от 30 сентября 2014 года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 xml:space="preserve">Для помощи в постановке диагноза. Помогает выявить воспалительный процесс, протекающий в области верхушек корней зубов. 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Наследственные нарушения структуры зуба, не классифицированные в других рубриках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Нарушения формирования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Крапчатые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Нарушения формирования зубов</w:t>
      </w:r>
    </w:p>
    <w:p>
      <w:pPr>
        <w:ind w:left="504"/>
      </w:pPr>
      <w:r>
        <w:rPr>
          <w:b w:val="0"/>
          <w:i/>
        </w:rPr>
        <w:t>Гипоплазия (hypoplasia) - порок развития, заключающийся в недоразвитии зуба или его тканей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 ISBN 978-5-9704-6097-9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оптимальным вариантом ортопедического лечения 1.1, 2.1 зубов в данной клинической ситуации является изготовление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бюгельного протеза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керамических виниров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керамической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культевой штифтовой вкладки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керамических виниров</w:t>
      </w:r>
    </w:p>
    <w:p>
      <w:pPr>
        <w:ind w:left="504"/>
      </w:pPr>
      <w:r>
        <w:rPr>
          <w:b w:val="0"/>
          <w:i/>
        </w:rPr>
        <w:t>Виниры устанавливаются только на фронтальные зубы с целью восстановления эстетики зубного ряда.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показанию для применения виниров у данной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эстетические дефекты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генерализованный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вторичную адентию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полный дефект коронковой части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эстетические дефекты зубов</w:t>
      </w:r>
    </w:p>
    <w:p>
      <w:pPr>
        <w:ind w:left="504"/>
      </w:pPr>
      <w:r>
        <w:rPr>
          <w:b w:val="0"/>
          <w:i/>
        </w:rPr>
        <w:t>Показаниями к применению виниров являются эстетические дефекты зубов три наличии достаточной площади сохранившейся эмали.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изготовлении виниров в данной клинической ситуации препарирование тканей зуба проводится в пределах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дентина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эмали</w:t>
      </w:r>
    </w:p>
    <w:p>
      <w:pPr>
        <w:ind w:left="504"/>
      </w:pPr>
      <w:r>
        <w:rPr>
          <w:b w:val="0"/>
          <w:i/>
        </w:rPr>
        <w:t>При изготовлении виниров препарирование тканей зуба проводится только в пределах эмали.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препарировании зуба для изготовления винира сошлифовывают +________+ мм твёрдых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0,8-0,9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0,3-1,0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0,9-1,0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0,1-0,2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0,3-1,0</w:t>
      </w:r>
    </w:p>
    <w:p>
      <w:pPr>
        <w:ind w:left="504"/>
      </w:pPr>
      <w:r>
        <w:rPr>
          <w:b w:val="0"/>
          <w:i/>
        </w:rPr>
        <w:t>При препарировании следует обращать особое внимание на глубину: сошлифовывают 0,3-1,0 мм твёрдых тканей зуба.</w:t>
        <w:br/>
        <w:br/>
        <w:t>Ортопедическая стоматология. Том 1 : национальное руководство : в 2 т. / под ред. И.Ю. Лебеденко, С.Д. Арутюнова, А.Н. Ряховского. - 2-е изд. , перераб. и доп. - Москва : ГЭОТАР-Медиа, 2022. - 520 с. (Серия "Национальные руководства") - ISBN 978-5-9704-6366-6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изготовления виниров пациентка может выбрать керамику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базисную пластмассу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моделировочный воск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беззольную пластмассу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композитные материалы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композитные материалы</w:t>
      </w:r>
    </w:p>
    <w:p>
      <w:pPr>
        <w:ind w:left="504"/>
      </w:pPr>
      <w:r>
        <w:rPr>
          <w:b w:val="0"/>
          <w:i/>
        </w:rPr>
        <w:t>Виниры изготавливаются из стоматологической керамики или композитных материалов.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снятия оттиска при изготовлении виниров в данной клинической ситуации будут использовать +_____________+ оттискные массы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силиконовые двухслойные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термопластические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цинкоксидэвгенольные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тиоколовые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силиконовые двухслойные</w:t>
      </w:r>
    </w:p>
    <w:p>
      <w:pPr>
        <w:ind w:left="504"/>
      </w:pPr>
      <w:r>
        <w:rPr>
          <w:b w:val="0"/>
          <w:i/>
        </w:rPr>
        <w:t>При изготовлении виниров используют силиконовые двухслойные оттискные массы.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изготовлении керамических виниров оттиск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функциональный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одноэтапный двуслойный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одноэтапный двуслойный</w:t>
      </w:r>
    </w:p>
    <w:p>
      <w:pPr>
        <w:ind w:left="504"/>
      </w:pPr>
      <w:r>
        <w:rPr>
          <w:b w:val="0"/>
          <w:i/>
        </w:rPr>
        <w:t>Одноэтапный метод можно эффективно использовать при наддесневом расположении границ препарирования. Широкое распространение этот метод получил при микропротезировании.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фиксации виниров в данной клинической ситуации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цинкполикарбоксилатный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цинкфосфатный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композитный материал двойного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стеклоиономерный цемент химического отверждения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композитный материал двойного отверждения</w:t>
      </w:r>
    </w:p>
    <w:p>
      <w:pPr>
        <w:ind w:left="504"/>
      </w:pPr>
      <w:r>
        <w:rPr>
          <w:b w:val="0"/>
          <w:i/>
        </w:rPr>
        <w:t>Проводится фиксация винира на композитный материал для цементирования двойного отверждения.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цементировки виниров у пациентки используют фиксацию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винтовую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традиционную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адгезивную</w:t>
      </w:r>
    </w:p>
    <w:p>
      <w:pPr>
        <w:ind w:left="504"/>
      </w:pPr>
      <w:r>
        <w:rPr>
          <w:b w:val="0"/>
          <w:i/>
        </w:rPr>
        <w:t>Для фиксации виниров необходимо использовать исключительно адгезивную фиксацию, поскольку препарирование в этом случае не является ретенционным.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Анализ окклюзионно-мышечной нагрузки   в данной клинической ситуации после фиксации виниров проводят с помощью синхронизированных аппаратов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Reference SL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T-scan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BioPak-ЭМГ и Reference SL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T-scan и BioPak-ЭМГ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T-scan и BioPak-ЭМГ</w:t>
      </w:r>
    </w:p>
    <w:p>
      <w:pPr>
        <w:ind w:left="504"/>
      </w:pPr>
      <w:r>
        <w:rPr>
          <w:b w:val="0"/>
          <w:i/>
        </w:rPr>
        <w:t>После фиксации несъёмных конструкций на постоянный цемент приступают к анализу окклюзионно-мышечной нагрузки с помощью синхронизированных аппаратов T-scan и BioPak-ЭМГ.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4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6_periapikal_8aug2018/" TargetMode="External"/><Relationship Id="rId21" Type="http://schemas.openxmlformats.org/officeDocument/2006/relationships/hyperlink" Target="https://library.mededtech.ru/rest/documents/6_periapikal_8aug2018/#table_i7i60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6_periapikal_8aug2018/#table_qjukp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6_periapikal_8aug2018/#paragraph_3bt1e" TargetMode="External"/><Relationship Id="rId26" Type="http://schemas.openxmlformats.org/officeDocument/2006/relationships/hyperlink" Target="https://library.mededtech.ru/rest/documents/6_periapikal_8aug2018/#paragraph_j714c" TargetMode="External"/><Relationship Id="rId27" Type="http://schemas.openxmlformats.org/officeDocument/2006/relationships/hyperlink" Target="https://library.mededtech.ru/rest/documents/7_part_absent/" TargetMode="External"/><Relationship Id="rId28" Type="http://schemas.openxmlformats.org/officeDocument/2006/relationships/hyperlink" Target="https://library.mededtech.ru/rest/documents/7_part_absent/#paragraph_rmbrv" TargetMode="External"/><Relationship Id="rId29" Type="http://schemas.openxmlformats.org/officeDocument/2006/relationships/hyperlink" Target="https://library.mededtech.ru/rest/documents/6_periapikal_8aug2018/#table_g57vr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6_periapikal_8aug2018/#list_item_963l2" TargetMode="External"/><Relationship Id="rId32" Type="http://schemas.openxmlformats.org/officeDocument/2006/relationships/hyperlink" Target="https://library.mededtech.ru/rest/documents/6_periapikal_8aug2018/#paragraph_bbs77" TargetMode="External"/><Relationship Id="rId33" Type="http://schemas.openxmlformats.org/officeDocument/2006/relationships/hyperlink" Target="https://library.mededtech.ru/rest/documents/6_periapikal_8aug2018/#7_2_11_&#1090;&#1088;&#1077;&#1073;&#1086;&#1074;&#1072;&#1085;&#1080;&#1103;_&#1082;_&#1076;&#1080;&#1077;&#1090;&#1080;&#1095;&#1077;&#1089;&#1082;&#1080;&#1084;_&#1085;&#1072;&#1079;&#1085;&#1072;&#1095;&#1077;&#1085;&#1080;&#1103;&#1084;_&#1080;_&#1086;&#1075;&#1088;&#1072;&#1085;&#1080;&#1095;&#1077;&#1085;&#1080;&#1103;&#1084;" TargetMode="External"/><Relationship Id="rId34" Type="http://schemas.openxmlformats.org/officeDocument/2006/relationships/hyperlink" Target="https://library.mededtech.ru/rest/documents/6_periapikal_8aug2018/#7_2_15_&#1074;&#1086;&#1079;&#1084;&#1086;&#1078;&#1085;&#1099;&#1077;_&#1080;&#1089;&#1093;&#1086;&#1076;&#1099;_&#1080;_&#1080;&#1093;_&#1093;&#1072;&#1088;&#1072;&#1082;&#1090;&#1077;&#1088;&#1080;&#1089;&#1090;&#1080;&#1082;&#1080;" TargetMode="External"/><Relationship Id="rId35" Type="http://schemas.openxmlformats.org/officeDocument/2006/relationships/hyperlink" Target="https://library.mededtech.ru/rest/documents/7_part_absent/index.html#paragraph_dbbvq" TargetMode="External"/><Relationship Id="rId36" Type="http://schemas.openxmlformats.org/officeDocument/2006/relationships/hyperlink" Target="https://library.mededtech.ru/rest/documents/ISBN9785970435823/?anchor=paragraph_t51ldc#paragraph_t51ldc" TargetMode="External"/><Relationship Id="rId37" Type="http://schemas.openxmlformats.org/officeDocument/2006/relationships/hyperlink" Target="https://library.mededtech.ru/rest/documents/ISBN9785970460979/?anchor=&#1053;&#1040;&#1056;&#1059;&#1064;&#1045;&#1053;&#1048;&#1071;_&#1060;&#1054;&#1056;&#1052;&#1048;&#1056;&#1054;&#1042;&#1040;&#1053;&#1048;&#1071;_&#1047;&#1059;&#1041;&#1054;&#1042;#&#1053;&#1040;&#1056;&#1059;&#1064;&#1045;&#1053;&#1048;&#1071;_&#1060;&#1054;&#1056;&#1052;&#1048;&#1056;&#1054;&#1042;&#1040;&#1053;&#1048;&#1071;_&#1047;&#1059;&#1041;&#1054;&#1042;" TargetMode="External"/><Relationship Id="rId38" Type="http://schemas.openxmlformats.org/officeDocument/2006/relationships/hyperlink" Target="https://library.mededtech.ru/rest/documents/ISBN9785970435823/?anchor=paragraph_ga8r6d#paragraph_ga8r6d" TargetMode="External"/><Relationship Id="rId39" Type="http://schemas.openxmlformats.org/officeDocument/2006/relationships/hyperlink" Target="https://library.mededtech.ru/rest/documents/ISBN9785970463673/?anchor=&#1055;&#1086;&#1082;&#1072;&#1079;&#1072;&#1085;&#1080;&#1103;_8#&#1055;&#1086;&#1082;&#1072;&#1079;&#1072;&#1085;&#1080;&#1103;_8" TargetMode="External"/><Relationship Id="rId40" Type="http://schemas.openxmlformats.org/officeDocument/2006/relationships/hyperlink" Target="https://library.mededtech.ru/rest/documents/ISBN9785970435823/?anchor=paragraph_ndvem6#paragraph_ndvem6" TargetMode="External"/><Relationship Id="rId41" Type="http://schemas.openxmlformats.org/officeDocument/2006/relationships/hyperlink" Target="https://library.mededtech.ru/rest/documents/ISBN9785970463666/?anchor=paragraph_v690jf#paragraph_v690jf" TargetMode="External"/><Relationship Id="rId42" Type="http://schemas.openxmlformats.org/officeDocument/2006/relationships/hyperlink" Target="https://library.mededtech.ru/rest/documents/ISBN9785970463673/?anchor=paragraph_6b9co2#paragraph_6b9co2" TargetMode="External"/><Relationship Id="rId43" Type="http://schemas.openxmlformats.org/officeDocument/2006/relationships/hyperlink" Target="https://library.mededtech.ru/rest/documents/ISBN9785970463673/?anchor=paragraph_0vq8cs#paragraph_0vq8cs" TargetMode="External"/><Relationship Id="rId44" Type="http://schemas.openxmlformats.org/officeDocument/2006/relationships/hyperlink" Target="https://library.mededtech.ru/rest/documents/ISBN9785970463673/?anchor=list_item_hjin8o#list_item_hjin8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